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263" w:lineRule="atLeast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9"/>
          <w:szCs w:val="39"/>
          <w:shd w:val="clear" w:fill="FFFFFF"/>
          <w:lang w:val="en-US" w:eastAsia="zh-CN" w:bidi="ar"/>
        </w:rPr>
        <w:t>高新区2022年直达资金预算执行情况</w:t>
      </w:r>
    </w:p>
    <w:bookmarkEnd w:id="0"/>
    <w:p>
      <w:pPr>
        <w:keepNext w:val="0"/>
        <w:keepLines w:val="0"/>
        <w:widowControl/>
        <w:suppressLineNumbers w:val="0"/>
        <w:spacing w:before="150" w:beforeAutospacing="0" w:after="0" w:afterAutospacing="0" w:line="394" w:lineRule="atLeast"/>
        <w:ind w:left="0" w:right="0" w:firstLine="640"/>
        <w:jc w:val="left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直达资金预算安排情况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2022年，我区共收到上级下达直达资金28689.06万元，已全部分配至具体部门和项目。我区直达资金主要用于城乡义务教育、困难群众救助、基本公共卫生服务补助、优抚补助等方面。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二、直达资金支出使用情况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截至12月底，已实现支付27802.99万元，支出进度96.91%。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（一）保基层运转。支付城乡义务教育保障公用经费支出6300.84万元，保障高新区36所义务教育学校公用经费开支，确保教学工作有序开展。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强化社会保障。高新区拨付134万元发放就业补贴，惠及企业50家，受惠人员达521人。对低保人员、残疾人、优抚对象等特殊困难群体给予资金救助，截至12月底，已支付困难群众救助补助资金64.21万元、残疾人事业发展补助经费4.3万元、优抚对象抚恤和生活补助435.29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三、执行监管情况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加快资金分配下达和支出使用，并将以形成的下达、支出和惠企利民补助补贴发放明细等数据导入监控系统，确保数据准确，二是盯紧业务督促和监控预警，不定期通过直达资金监控系统自查自纠不规范项目名称、支付数据、指标数据等情况，盯紧直达监控预警，及时整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477A17E2"/>
    <w:rsid w:val="47C33903"/>
    <w:rsid w:val="53F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559</Characters>
  <Lines>0</Lines>
  <Paragraphs>0</Paragraphs>
  <TotalTime>1</TotalTime>
  <ScaleCrop>false</ScaleCrop>
  <LinksUpToDate>false</LinksUpToDate>
  <CharactersWithSpaces>559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2022-11-17T03:02:00Z</dcterms:created>
  <dc:creator>Lenovo</dc:creator>
  <cp:lastModifiedBy>吕</cp:lastModifiedBy>
  <dcterms:modified xsi:type="dcterms:W3CDTF">2023-01-28T02:10:35Z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9790DD58EEF24F72A721E42AB49E53E4</vt:lpwstr>
  </property>
</Properties>
</file>